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21" w:rsidRPr="00A87A21" w:rsidRDefault="00A87A21" w:rsidP="00A87A21">
      <w:pPr>
        <w:pStyle w:val="1"/>
        <w:numPr>
          <w:ilvl w:val="0"/>
          <w:numId w:val="0"/>
        </w:numPr>
        <w:ind w:firstLine="851"/>
        <w:rPr>
          <w:b w:val="0"/>
          <w:sz w:val="24"/>
        </w:rPr>
      </w:pPr>
      <w:r w:rsidRPr="00A87A21">
        <w:rPr>
          <w:b w:val="0"/>
          <w:sz w:val="24"/>
        </w:rPr>
        <w:t xml:space="preserve">УТВЕРЖДЕНО </w:t>
      </w:r>
    </w:p>
    <w:p w:rsidR="00A87A21" w:rsidRPr="00A87A21" w:rsidRDefault="00A87A21" w:rsidP="00A87A21">
      <w:pPr>
        <w:ind w:firstLine="851"/>
        <w:rPr>
          <w:rFonts w:ascii="Arial" w:hAnsi="Arial" w:cs="Arial"/>
        </w:rPr>
      </w:pPr>
      <w:r w:rsidRPr="00A87A21">
        <w:rPr>
          <w:rFonts w:ascii="Arial" w:hAnsi="Arial" w:cs="Arial"/>
        </w:rPr>
        <w:t xml:space="preserve">решением Совета Ассоциации МСОПАУ </w:t>
      </w:r>
    </w:p>
    <w:p w:rsidR="00A87A21" w:rsidRPr="00A87A21" w:rsidRDefault="00A87A21" w:rsidP="00A87A21">
      <w:pPr>
        <w:ind w:firstLine="851"/>
        <w:rPr>
          <w:rFonts w:ascii="Arial" w:hAnsi="Arial" w:cs="Arial"/>
        </w:rPr>
      </w:pPr>
      <w:r w:rsidRPr="00A87A21">
        <w:rPr>
          <w:rFonts w:ascii="Arial" w:hAnsi="Arial" w:cs="Arial"/>
        </w:rPr>
        <w:t>15.12.2016 г.</w:t>
      </w:r>
    </w:p>
    <w:p w:rsidR="00A87A21" w:rsidRPr="00A87A21" w:rsidRDefault="00A87A21" w:rsidP="00A87A21">
      <w:pPr>
        <w:pStyle w:val="1"/>
        <w:numPr>
          <w:ilvl w:val="0"/>
          <w:numId w:val="0"/>
        </w:numPr>
        <w:ind w:left="432" w:firstLine="851"/>
        <w:jc w:val="center"/>
        <w:rPr>
          <w:b w:val="0"/>
          <w:sz w:val="24"/>
        </w:rPr>
      </w:pPr>
    </w:p>
    <w:p w:rsidR="00A87A21" w:rsidRPr="00A87A21" w:rsidRDefault="00A87A21" w:rsidP="00A87A21">
      <w:pPr>
        <w:ind w:firstLine="851"/>
        <w:rPr>
          <w:rFonts w:ascii="Arial" w:hAnsi="Arial" w:cs="Arial"/>
        </w:rPr>
      </w:pPr>
    </w:p>
    <w:p w:rsidR="0000731C" w:rsidRDefault="00A87A21" w:rsidP="0000731C">
      <w:pPr>
        <w:jc w:val="center"/>
        <w:rPr>
          <w:rFonts w:ascii="Arial" w:hAnsi="Arial" w:cs="Arial"/>
          <w:b/>
        </w:rPr>
      </w:pPr>
      <w:r w:rsidRPr="0000731C">
        <w:rPr>
          <w:rFonts w:ascii="Arial" w:hAnsi="Arial" w:cs="Arial"/>
          <w:b/>
        </w:rPr>
        <w:t xml:space="preserve">Правила осуществления контроля за соблюдением членами </w:t>
      </w:r>
    </w:p>
    <w:p w:rsidR="00A87A21" w:rsidRPr="0000731C" w:rsidRDefault="00A87A21" w:rsidP="0000731C">
      <w:pPr>
        <w:jc w:val="center"/>
        <w:rPr>
          <w:rFonts w:ascii="Arial" w:hAnsi="Arial" w:cs="Arial"/>
          <w:b/>
          <w:bCs/>
        </w:rPr>
      </w:pPr>
      <w:r w:rsidRPr="0000731C">
        <w:rPr>
          <w:rFonts w:ascii="Arial" w:hAnsi="Arial" w:cs="Arial"/>
          <w:b/>
        </w:rPr>
        <w:t xml:space="preserve">Ассоциации «Московская саморегулируемая организация профессиональных арбитражных управляющих» (Ассоциации МСОПАУ) требований Федерального закона «О несостоятельности (банкротстве)», других федеральных законов, нормативных правовых актов Российской Федерации, федеральных стандартов, стандартов и правил профессиональной деятельности </w:t>
      </w:r>
      <w:r w:rsidR="00FC1AE9" w:rsidRPr="0000731C">
        <w:rPr>
          <w:rFonts w:ascii="Arial" w:hAnsi="Arial" w:cs="Arial"/>
          <w:b/>
        </w:rPr>
        <w:t>Ассоциации</w:t>
      </w:r>
    </w:p>
    <w:p w:rsidR="004A6E35" w:rsidRPr="00A87A21" w:rsidRDefault="004A6E35" w:rsidP="00A87A21">
      <w:pPr>
        <w:ind w:firstLine="851"/>
        <w:rPr>
          <w:rFonts w:ascii="Arial" w:hAnsi="Arial" w:cs="Arial"/>
        </w:rPr>
      </w:pPr>
    </w:p>
    <w:p w:rsidR="00A87A21" w:rsidRDefault="00A87A21" w:rsidP="00A87A21">
      <w:pPr>
        <w:pStyle w:val="a3"/>
        <w:numPr>
          <w:ilvl w:val="0"/>
          <w:numId w:val="2"/>
        </w:numPr>
        <w:jc w:val="center"/>
        <w:rPr>
          <w:rFonts w:ascii="Arial" w:hAnsi="Arial" w:cs="Arial"/>
          <w:b/>
        </w:rPr>
      </w:pPr>
      <w:r w:rsidRPr="00A87A21">
        <w:rPr>
          <w:rFonts w:ascii="Arial" w:hAnsi="Arial" w:cs="Arial"/>
          <w:b/>
        </w:rPr>
        <w:t>Общие положения</w:t>
      </w:r>
    </w:p>
    <w:p w:rsidR="00A87A21" w:rsidRDefault="00A87A21" w:rsidP="00A87A21">
      <w:pPr>
        <w:pStyle w:val="a4"/>
        <w:numPr>
          <w:ilvl w:val="1"/>
          <w:numId w:val="1"/>
        </w:numPr>
        <w:tabs>
          <w:tab w:val="num" w:pos="0"/>
        </w:tabs>
        <w:ind w:left="0" w:firstLine="851"/>
      </w:pPr>
      <w:r w:rsidRPr="00A87A21">
        <w:t xml:space="preserve">Настоящие Правила </w:t>
      </w:r>
      <w:bookmarkStart w:id="0" w:name="OLE_LINK4"/>
      <w:bookmarkStart w:id="1" w:name="OLE_LINK5"/>
      <w:bookmarkStart w:id="2" w:name="OLE_LINK6"/>
      <w:bookmarkStart w:id="3" w:name="OLE_LINK7"/>
      <w:r w:rsidRPr="00A87A21">
        <w:t xml:space="preserve">Ассоциации </w:t>
      </w:r>
      <w:bookmarkEnd w:id="0"/>
      <w:bookmarkEnd w:id="1"/>
      <w:bookmarkEnd w:id="2"/>
      <w:bookmarkEnd w:id="3"/>
      <w:r w:rsidRPr="00A87A21">
        <w:t>МСОПАУ (</w:t>
      </w:r>
      <w:bookmarkStart w:id="4" w:name="OLE_LINK36"/>
      <w:bookmarkStart w:id="5" w:name="OLE_LINK37"/>
      <w:r w:rsidRPr="00A87A21">
        <w:t xml:space="preserve">далее по тексту - </w:t>
      </w:r>
      <w:bookmarkStart w:id="6" w:name="OLE_LINK29"/>
      <w:bookmarkStart w:id="7" w:name="OLE_LINK30"/>
      <w:bookmarkStart w:id="8" w:name="OLE_LINK31"/>
      <w:bookmarkStart w:id="9" w:name="OLE_LINK32"/>
      <w:bookmarkStart w:id="10" w:name="OLE_LINK33"/>
      <w:r w:rsidRPr="00A87A21">
        <w:t>Ассоциации</w:t>
      </w:r>
      <w:bookmarkEnd w:id="6"/>
      <w:bookmarkEnd w:id="7"/>
      <w:bookmarkEnd w:id="8"/>
      <w:bookmarkEnd w:id="9"/>
      <w:bookmarkEnd w:id="10"/>
      <w:r w:rsidRPr="00A87A21">
        <w:t xml:space="preserve">) </w:t>
      </w:r>
      <w:bookmarkEnd w:id="4"/>
      <w:bookmarkEnd w:id="5"/>
      <w:r w:rsidRPr="00A87A21">
        <w:t xml:space="preserve">определяют порядок осуществления контроля за соблюдением членами </w:t>
      </w:r>
      <w:bookmarkStart w:id="11" w:name="OLE_LINK1"/>
      <w:bookmarkStart w:id="12" w:name="OLE_LINK2"/>
      <w:bookmarkStart w:id="13" w:name="OLE_LINK3"/>
      <w:r w:rsidRPr="00A87A21">
        <w:t xml:space="preserve">Ассоциации </w:t>
      </w:r>
      <w:bookmarkEnd w:id="11"/>
      <w:bookmarkEnd w:id="12"/>
      <w:bookmarkEnd w:id="13"/>
      <w:r w:rsidRPr="00A87A21">
        <w:t>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принятых Ассоциацией.</w:t>
      </w:r>
    </w:p>
    <w:p w:rsidR="00A87A21" w:rsidRDefault="00A87A21" w:rsidP="00A87A21">
      <w:pPr>
        <w:pStyle w:val="a4"/>
        <w:numPr>
          <w:ilvl w:val="1"/>
          <w:numId w:val="1"/>
        </w:numPr>
        <w:tabs>
          <w:tab w:val="num" w:pos="0"/>
        </w:tabs>
        <w:ind w:left="0" w:firstLine="851"/>
      </w:pPr>
      <w:r w:rsidRPr="00A87A21">
        <w:t>Органом, осуществляющим контроль за соблюдением членами Ассоциации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принятых Ассоциацией, является Контрольный отдел Ассоциации.</w:t>
      </w:r>
    </w:p>
    <w:p w:rsidR="00A87A21" w:rsidRDefault="00A87A21" w:rsidP="00A87A21">
      <w:pPr>
        <w:pStyle w:val="a4"/>
        <w:numPr>
          <w:ilvl w:val="1"/>
          <w:numId w:val="1"/>
        </w:numPr>
        <w:tabs>
          <w:tab w:val="num" w:pos="0"/>
        </w:tabs>
        <w:ind w:left="0" w:firstLine="851"/>
      </w:pPr>
      <w:r w:rsidRPr="00A87A21">
        <w:t>Контроль за соблюдением членами Ассоциации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принятых Ассоциацией, осуществляется посредством постоянного мониторинга и выборочного контроля.</w:t>
      </w:r>
    </w:p>
    <w:p w:rsidR="00A87A21" w:rsidRDefault="00A87A21" w:rsidP="00A87A21">
      <w:pPr>
        <w:pStyle w:val="a4"/>
        <w:numPr>
          <w:ilvl w:val="1"/>
          <w:numId w:val="1"/>
        </w:numPr>
        <w:tabs>
          <w:tab w:val="num" w:pos="0"/>
        </w:tabs>
        <w:ind w:left="0" w:firstLine="851"/>
      </w:pPr>
      <w:r w:rsidRPr="00A87A21">
        <w:t>Постоянный мониторинг осуществляется в отношении всех членов Ассоциации, исполняющих обязанности арбитражных управляющих в делах о банкротстве путем сбора отчетов арбитражных управляющих членов Ассоциации и проведения анализа этих отчетов.</w:t>
      </w:r>
    </w:p>
    <w:p w:rsidR="00A87A21" w:rsidRDefault="00A87A21" w:rsidP="00A87A21">
      <w:pPr>
        <w:pStyle w:val="a4"/>
        <w:numPr>
          <w:ilvl w:val="1"/>
          <w:numId w:val="1"/>
        </w:numPr>
        <w:tabs>
          <w:tab w:val="num" w:pos="0"/>
        </w:tabs>
        <w:ind w:left="0" w:firstLine="851"/>
      </w:pPr>
      <w:r w:rsidRPr="00A87A21">
        <w:t>Отчеты предоставляются в объеме и сроки, предусмотренные отчетностью членов Ассоциации при проведении процедур, применяемых, в деле о банкротстве, утвержденной Общим собранием членов Ассоциации.</w:t>
      </w:r>
    </w:p>
    <w:p w:rsidR="00A87A21" w:rsidRDefault="00A87A21" w:rsidP="00A87A21">
      <w:pPr>
        <w:pStyle w:val="a4"/>
        <w:numPr>
          <w:ilvl w:val="1"/>
          <w:numId w:val="1"/>
        </w:numPr>
        <w:tabs>
          <w:tab w:val="num" w:pos="0"/>
        </w:tabs>
        <w:ind w:left="0" w:firstLine="851"/>
      </w:pPr>
      <w:r w:rsidRPr="00A87A21">
        <w:t>Выборочный контроль проводится посредством проведения плановых и внеплановых проверок. Плановая проверка проводится не реже одного раза в три года, но не чаще одного раза в год. Основанием проведения внеплановой проверки является поступившее в Ассоциацию обращение (жалоба), собственное ходатайство члена Ассоциации, служебная записка руководителя и/или члена Контрольного отдела Ассоциации, а также решение Совета и/или Президента Ассоциации.</w:t>
      </w:r>
    </w:p>
    <w:p w:rsidR="00A87A21" w:rsidRDefault="00A87A21" w:rsidP="00A87A21">
      <w:pPr>
        <w:pStyle w:val="a4"/>
        <w:numPr>
          <w:ilvl w:val="1"/>
          <w:numId w:val="1"/>
        </w:numPr>
        <w:tabs>
          <w:tab w:val="num" w:pos="0"/>
        </w:tabs>
        <w:ind w:left="0" w:firstLine="851"/>
      </w:pPr>
      <w:r w:rsidRPr="00A87A21">
        <w:t>Руководитель Контрольного отдела Ассоциации свое решение о проведении проверки и состав проверяющей комиссии представляет Президенту Ассоциации, который издает приказ о проведении проверки.</w:t>
      </w:r>
    </w:p>
    <w:p w:rsidR="00A87A21" w:rsidRDefault="00A87A21" w:rsidP="00A87A21">
      <w:pPr>
        <w:pStyle w:val="a4"/>
        <w:numPr>
          <w:ilvl w:val="1"/>
          <w:numId w:val="1"/>
        </w:numPr>
        <w:tabs>
          <w:tab w:val="num" w:pos="0"/>
        </w:tabs>
        <w:ind w:left="0" w:firstLine="851"/>
      </w:pPr>
      <w:r w:rsidRPr="00A87A21">
        <w:t xml:space="preserve">В рамках проведения проверок профессиональной деятельности председатель Комиссии и члены Комиссии вправе запрашивать у арбитражного управляющего документы и материалы, содержащие сведения об исполнении им требований законодательства Российской Федерации, обязанностей арбитражного управляющего при проведении процедур, применяемых в деле о </w:t>
      </w:r>
      <w:r w:rsidRPr="00A87A21">
        <w:lastRenderedPageBreak/>
        <w:t>банкротстве, федеральных стандартов, стандартов и правил профессиональной деятельности Ассоциации, а также иные сведения, необходимые для рассмотрения дела по существу.</w:t>
      </w:r>
    </w:p>
    <w:p w:rsidR="00A87A21" w:rsidRPr="00A87A21" w:rsidRDefault="00A87A21" w:rsidP="00A87A21">
      <w:pPr>
        <w:pStyle w:val="a4"/>
        <w:ind w:firstLine="851"/>
      </w:pPr>
      <w:r w:rsidRPr="00A87A21">
        <w:t>Запрос может быть направлен арбитражному управляющему по адресу электронной почты, согласованному арбитражным управляющим с Ассоциацией, или иным способом, обеспечивающим его доставку в течение пяти рабочих дней с даты его направления. Арбитражный управляющий обязан представить указанные в запросе документы и материалы в течение пяти дней с даты его получения.</w:t>
      </w:r>
    </w:p>
    <w:p w:rsidR="00A87A21" w:rsidRPr="00A87A21" w:rsidRDefault="00A87A21" w:rsidP="00A87A21">
      <w:pPr>
        <w:jc w:val="both"/>
        <w:rPr>
          <w:rFonts w:ascii="Arial" w:hAnsi="Arial" w:cs="Arial"/>
        </w:rPr>
      </w:pPr>
    </w:p>
    <w:p w:rsidR="00A87A21" w:rsidRPr="007117BC" w:rsidRDefault="00A87A21" w:rsidP="00A87A21">
      <w:pPr>
        <w:pStyle w:val="a3"/>
        <w:keepNext/>
        <w:numPr>
          <w:ilvl w:val="0"/>
          <w:numId w:val="1"/>
        </w:numPr>
        <w:contextualSpacing w:val="0"/>
        <w:jc w:val="center"/>
        <w:outlineLvl w:val="0"/>
        <w:rPr>
          <w:rFonts w:ascii="Arial" w:hAnsi="Arial" w:cs="Arial"/>
          <w:b/>
          <w:bCs/>
          <w:vanish/>
          <w:sz w:val="22"/>
        </w:rPr>
      </w:pPr>
      <w:r w:rsidRPr="007117BC">
        <w:rPr>
          <w:rFonts w:ascii="Arial" w:hAnsi="Arial" w:cs="Arial"/>
          <w:b/>
        </w:rPr>
        <w:t>Плановые</w:t>
      </w:r>
      <w:r w:rsidRPr="007117BC">
        <w:rPr>
          <w:rFonts w:ascii="Arial" w:hAnsi="Arial" w:cs="Arial"/>
          <w:b/>
          <w:bCs/>
        </w:rPr>
        <w:t xml:space="preserve"> </w:t>
      </w:r>
      <w:r w:rsidRPr="007117BC">
        <w:rPr>
          <w:rFonts w:ascii="Arial" w:hAnsi="Arial" w:cs="Arial"/>
          <w:b/>
        </w:rPr>
        <w:t>проверки</w:t>
      </w:r>
    </w:p>
    <w:p w:rsidR="00707328" w:rsidRDefault="00707328" w:rsidP="00707328">
      <w:pPr>
        <w:pStyle w:val="2"/>
        <w:spacing w:before="0" w:after="0"/>
        <w:ind w:left="0" w:firstLine="851"/>
        <w:jc w:val="both"/>
        <w:rPr>
          <w:rFonts w:ascii="Arial" w:hAnsi="Arial" w:cs="Arial"/>
          <w:b w:val="0"/>
          <w:i w:val="0"/>
          <w:sz w:val="24"/>
          <w:szCs w:val="24"/>
        </w:rPr>
      </w:pPr>
    </w:p>
    <w:p w:rsidR="00707328" w:rsidRPr="00707328" w:rsidRDefault="00A87A21" w:rsidP="00707328">
      <w:pPr>
        <w:pStyle w:val="2"/>
        <w:spacing w:before="0" w:after="0"/>
        <w:ind w:left="0" w:firstLine="851"/>
        <w:jc w:val="both"/>
        <w:rPr>
          <w:rFonts w:ascii="Arial" w:hAnsi="Arial" w:cs="Arial"/>
          <w:b w:val="0"/>
          <w:i w:val="0"/>
          <w:sz w:val="24"/>
          <w:szCs w:val="24"/>
        </w:rPr>
      </w:pPr>
      <w:r w:rsidRPr="00707328">
        <w:rPr>
          <w:rFonts w:ascii="Arial" w:hAnsi="Arial" w:cs="Arial"/>
          <w:b w:val="0"/>
          <w:i w:val="0"/>
          <w:sz w:val="24"/>
          <w:szCs w:val="24"/>
        </w:rPr>
        <w:t>Предметом проведения плановых проверок профессиональной деятельности членов Ассоциации является проверка соблюдения требований 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в период членства в Ассоциации.</w:t>
      </w:r>
    </w:p>
    <w:p w:rsidR="00707328" w:rsidRDefault="00A87A21" w:rsidP="00707328">
      <w:pPr>
        <w:pStyle w:val="2"/>
        <w:spacing w:before="0" w:after="0"/>
        <w:ind w:left="0" w:firstLine="851"/>
        <w:jc w:val="both"/>
        <w:rPr>
          <w:rFonts w:ascii="Arial" w:hAnsi="Arial" w:cs="Arial"/>
          <w:b w:val="0"/>
          <w:i w:val="0"/>
          <w:sz w:val="24"/>
          <w:szCs w:val="24"/>
        </w:rPr>
      </w:pPr>
      <w:r w:rsidRPr="00707328">
        <w:rPr>
          <w:rFonts w:ascii="Arial" w:hAnsi="Arial" w:cs="Arial"/>
          <w:b w:val="0"/>
          <w:i w:val="0"/>
          <w:sz w:val="24"/>
          <w:szCs w:val="24"/>
        </w:rPr>
        <w:t xml:space="preserve">Плановая проверка в отношении вновь принятого члена </w:t>
      </w:r>
      <w:bookmarkStart w:id="14" w:name="OLE_LINK53"/>
      <w:bookmarkStart w:id="15" w:name="OLE_LINK54"/>
      <w:r w:rsidRPr="00707328">
        <w:rPr>
          <w:rFonts w:ascii="Arial" w:hAnsi="Arial" w:cs="Arial"/>
          <w:b w:val="0"/>
          <w:i w:val="0"/>
          <w:sz w:val="24"/>
          <w:szCs w:val="24"/>
        </w:rPr>
        <w:t xml:space="preserve">Ассоциации </w:t>
      </w:r>
      <w:bookmarkEnd w:id="14"/>
      <w:bookmarkEnd w:id="15"/>
      <w:r w:rsidRPr="00707328">
        <w:rPr>
          <w:rFonts w:ascii="Arial" w:hAnsi="Arial" w:cs="Arial"/>
          <w:b w:val="0"/>
          <w:i w:val="0"/>
          <w:sz w:val="24"/>
          <w:szCs w:val="24"/>
        </w:rPr>
        <w:t>проводится не ранее чем через год с даты включения сведений о нем в реестр членов Ассоциации.</w:t>
      </w:r>
    </w:p>
    <w:p w:rsidR="00A87A21" w:rsidRPr="00707328" w:rsidRDefault="00A87A21" w:rsidP="00707328">
      <w:pPr>
        <w:pStyle w:val="2"/>
        <w:spacing w:before="0" w:after="0"/>
        <w:ind w:left="0" w:firstLine="851"/>
        <w:jc w:val="both"/>
        <w:rPr>
          <w:rFonts w:ascii="Arial" w:hAnsi="Arial" w:cs="Arial"/>
          <w:b w:val="0"/>
          <w:i w:val="0"/>
          <w:sz w:val="24"/>
          <w:szCs w:val="24"/>
        </w:rPr>
      </w:pPr>
      <w:r w:rsidRPr="00707328">
        <w:rPr>
          <w:rFonts w:ascii="Arial" w:hAnsi="Arial" w:cs="Arial"/>
          <w:b w:val="0"/>
          <w:i w:val="0"/>
          <w:sz w:val="24"/>
          <w:szCs w:val="24"/>
        </w:rPr>
        <w:t>Основанием для проведения плановой проверки является приказ Президента Ассоциации о проведении плановой проверки. Плановая проверка проводится в соответствии с графиком плановых проверок, который утверждается Президентом Ассоциации.</w:t>
      </w:r>
    </w:p>
    <w:p w:rsidR="00707328" w:rsidRPr="007506D5" w:rsidRDefault="00707328" w:rsidP="00707328">
      <w:pPr>
        <w:pStyle w:val="2"/>
        <w:numPr>
          <w:ilvl w:val="0"/>
          <w:numId w:val="0"/>
        </w:numPr>
        <w:spacing w:before="0" w:after="0"/>
        <w:ind w:left="851"/>
        <w:jc w:val="both"/>
        <w:rPr>
          <w:rFonts w:ascii="Arial" w:hAnsi="Arial" w:cs="Arial"/>
          <w:b w:val="0"/>
          <w:i w:val="0"/>
          <w:sz w:val="24"/>
          <w:szCs w:val="24"/>
        </w:rPr>
      </w:pPr>
      <w:r w:rsidRPr="007506D5">
        <w:rPr>
          <w:rFonts w:ascii="Arial" w:hAnsi="Arial" w:cs="Arial"/>
          <w:b w:val="0"/>
          <w:i w:val="0"/>
          <w:sz w:val="24"/>
          <w:szCs w:val="24"/>
        </w:rPr>
        <w:t>График плановых проверок должен содержать следующую информацию:</w:t>
      </w:r>
    </w:p>
    <w:p w:rsidR="00707328" w:rsidRPr="007506D5" w:rsidRDefault="00707328" w:rsidP="00707328">
      <w:pPr>
        <w:numPr>
          <w:ilvl w:val="0"/>
          <w:numId w:val="12"/>
        </w:numPr>
        <w:ind w:left="851" w:firstLine="0"/>
        <w:jc w:val="both"/>
        <w:rPr>
          <w:rFonts w:ascii="Arial" w:hAnsi="Arial" w:cs="Arial"/>
        </w:rPr>
      </w:pPr>
      <w:r w:rsidRPr="007506D5">
        <w:rPr>
          <w:rFonts w:ascii="Arial" w:hAnsi="Arial" w:cs="Arial"/>
        </w:rPr>
        <w:t>номер, дату, наименование документа, которым утвержден такой график;</w:t>
      </w:r>
    </w:p>
    <w:p w:rsidR="00707328" w:rsidRPr="007506D5" w:rsidRDefault="00707328" w:rsidP="00707328">
      <w:pPr>
        <w:numPr>
          <w:ilvl w:val="0"/>
          <w:numId w:val="12"/>
        </w:numPr>
        <w:ind w:left="851" w:firstLine="0"/>
        <w:jc w:val="both"/>
        <w:rPr>
          <w:rFonts w:ascii="Arial" w:hAnsi="Arial" w:cs="Arial"/>
        </w:rPr>
      </w:pPr>
      <w:r w:rsidRPr="007506D5">
        <w:rPr>
          <w:rFonts w:ascii="Arial" w:hAnsi="Arial" w:cs="Arial"/>
        </w:rPr>
        <w:t>фамилии, имена, отчества  арбитражных управляющих, деятельность которых подлежит проверке в соответствии с графиком плановых проверок;</w:t>
      </w:r>
    </w:p>
    <w:p w:rsidR="00707328" w:rsidRPr="007506D5" w:rsidRDefault="00707328" w:rsidP="00707328">
      <w:pPr>
        <w:numPr>
          <w:ilvl w:val="0"/>
          <w:numId w:val="12"/>
        </w:numPr>
        <w:ind w:left="851" w:firstLine="0"/>
        <w:jc w:val="both"/>
        <w:rPr>
          <w:rFonts w:ascii="Arial" w:hAnsi="Arial" w:cs="Arial"/>
          <w:bCs/>
          <w:iCs/>
        </w:rPr>
      </w:pPr>
      <w:r w:rsidRPr="007506D5">
        <w:rPr>
          <w:rFonts w:ascii="Arial" w:hAnsi="Arial" w:cs="Arial"/>
        </w:rPr>
        <w:t xml:space="preserve">сроки проведения проверки в отношении каждого арбитражного управляющего и период его деятельности, подлежащий проверке. </w:t>
      </w:r>
      <w:r w:rsidRPr="007506D5">
        <w:rPr>
          <w:rFonts w:ascii="Arial" w:hAnsi="Arial" w:cs="Arial"/>
          <w:bCs/>
          <w:iCs/>
        </w:rPr>
        <w:t xml:space="preserve">Продолжительность плановой проверки не может превышать тридцати рабочих дней. По решению Президента </w:t>
      </w:r>
      <w:bookmarkStart w:id="16" w:name="OLE_LINK34"/>
      <w:bookmarkStart w:id="17" w:name="OLE_LINK35"/>
      <w:bookmarkStart w:id="18" w:name="OLE_LINK38"/>
      <w:r w:rsidRPr="007506D5">
        <w:rPr>
          <w:rFonts w:ascii="Arial" w:hAnsi="Arial" w:cs="Arial"/>
        </w:rPr>
        <w:t>Ассоциации</w:t>
      </w:r>
      <w:r w:rsidRPr="007506D5">
        <w:rPr>
          <w:rFonts w:ascii="Arial" w:hAnsi="Arial" w:cs="Arial"/>
          <w:bCs/>
          <w:iCs/>
        </w:rPr>
        <w:t xml:space="preserve"> </w:t>
      </w:r>
      <w:bookmarkEnd w:id="16"/>
      <w:bookmarkEnd w:id="17"/>
      <w:bookmarkEnd w:id="18"/>
      <w:r w:rsidRPr="007506D5">
        <w:rPr>
          <w:rFonts w:ascii="Arial" w:hAnsi="Arial" w:cs="Arial"/>
          <w:bCs/>
          <w:iCs/>
        </w:rPr>
        <w:t>срок проверки может быть продлен не более чем на 30 рабочих дней.</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График плановых проверок размещается на официальном сайте </w:t>
      </w:r>
      <w:bookmarkStart w:id="19" w:name="OLE_LINK39"/>
      <w:bookmarkStart w:id="20" w:name="OLE_LINK40"/>
      <w:bookmarkStart w:id="21" w:name="OLE_LINK41"/>
      <w:bookmarkStart w:id="22" w:name="OLE_LINK42"/>
      <w:bookmarkStart w:id="23" w:name="OLE_LINK43"/>
      <w:bookmarkStart w:id="24" w:name="OLE_LINK44"/>
      <w:bookmarkStart w:id="25" w:name="OLE_LINK45"/>
      <w:bookmarkStart w:id="26" w:name="OLE_LINK46"/>
      <w:bookmarkStart w:id="27" w:name="OLE_LINK47"/>
      <w:bookmarkStart w:id="28" w:name="OLE_LINK48"/>
      <w:bookmarkStart w:id="29" w:name="OLE_LINK49"/>
      <w:r w:rsidRPr="007506D5">
        <w:rPr>
          <w:rFonts w:ascii="Arial" w:hAnsi="Arial" w:cs="Arial"/>
          <w:b w:val="0"/>
          <w:i w:val="0"/>
          <w:sz w:val="24"/>
          <w:szCs w:val="24"/>
        </w:rPr>
        <w:t>Ассоциации</w:t>
      </w:r>
      <w:bookmarkEnd w:id="19"/>
      <w:bookmarkEnd w:id="20"/>
      <w:bookmarkEnd w:id="21"/>
      <w:bookmarkEnd w:id="22"/>
      <w:bookmarkEnd w:id="23"/>
      <w:bookmarkEnd w:id="24"/>
      <w:bookmarkEnd w:id="25"/>
      <w:bookmarkEnd w:id="26"/>
      <w:bookmarkEnd w:id="27"/>
      <w:bookmarkEnd w:id="28"/>
      <w:bookmarkEnd w:id="29"/>
      <w:r w:rsidRPr="007506D5">
        <w:rPr>
          <w:rFonts w:ascii="Arial" w:hAnsi="Arial" w:cs="Arial"/>
          <w:b w:val="0"/>
          <w:i w:val="0"/>
          <w:sz w:val="24"/>
          <w:szCs w:val="24"/>
        </w:rPr>
        <w:t xml:space="preserve"> организации в информационно-телекоммуникационной сети "Интернет".</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Арбитражный управляющий должен быть уведомлен о проведении плановой проверки не менее чем за три рабочих дня до даты начала проведения в отношении него плановой проверки с указанием основания и сроков ее проведения, наименования должника, процедуры, применяемой в деле о банкротстве, а также периода его деятельности, который подлежит проверке.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Такое уведомление направляется арбитражному управляющему по адресу электронной почты, согласованному с Ассоциацией, или иным способом, обеспечивающим доставку в течение пяти рабочих дней с даты направления.</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При проведении плановой проверки Комиссия проводит анализ деятельности арбитражного управляющего за проверяемый период на основании информации, которую он представлял в Ассоциацию в форме отчетов. Анализу подлежат также иные материалы и сведения, имеющиеся в распоряжении Ассоциации на дату начала проверки или запрошенные у арбитражного управляющего дополнительно, а также размещенные в официальном издании, предусмотренном ФЗ «О несостоятельности (банкротстве)», в Едином федеральном реестре сведений о банкротстве и на сайте "Федеральные арбитражные суды Российской Федерации" в информационно-телекоммуникационной сети "Интернет" (http://www.arbitr.ru).</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По результатам проведения плановой проверки составляется Акт плановой проверки, который должен содержать следующие сведения:</w:t>
      </w:r>
    </w:p>
    <w:p w:rsidR="00707328" w:rsidRPr="007506D5"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дату и место составления Акта плановой проверки;</w:t>
      </w:r>
    </w:p>
    <w:p w:rsidR="00707328" w:rsidRPr="007506D5"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перечень членов Комиссии, проводивших проверку, с указанием их фамилий, имен, отчеств  и должностей;</w:t>
      </w:r>
    </w:p>
    <w:p w:rsidR="00707328" w:rsidRPr="007506D5"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номер, дату документа, которым утвержден график плановых проверок;</w:t>
      </w:r>
    </w:p>
    <w:p w:rsidR="00707328" w:rsidRPr="007506D5"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фамилию, имя, отчество арбитражного управляющего, деятельность которого подлежала проверке;</w:t>
      </w:r>
    </w:p>
    <w:p w:rsidR="00707328" w:rsidRPr="007506D5"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наименования должников, их адреса, в делах о банкротстве которых проверялась деятельность арбитражного управляющего, с указанием процедуры, применяемой в деле о банкротстве, номера дела о банкротстве и наименования арбитражного суда;</w:t>
      </w:r>
    </w:p>
    <w:p w:rsidR="00707328" w:rsidRPr="007506D5"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срок и место (адрес) проведения проверки;</w:t>
      </w:r>
    </w:p>
    <w:p w:rsidR="00707328" w:rsidRPr="007506D5"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результаты проверки, содержащие выводы о наличии или отсутствии фактов нарушения арбитражным управляющим требований ФЗ «О несостоятельности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Ассоциации</w:t>
      </w:r>
    </w:p>
    <w:p w:rsidR="00707328" w:rsidRDefault="00707328" w:rsidP="00707328">
      <w:pPr>
        <w:pStyle w:val="2"/>
        <w:keepNext w:val="0"/>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перечень документов, использованных при проведении п</w:t>
      </w:r>
      <w:r>
        <w:rPr>
          <w:rFonts w:ascii="Arial" w:hAnsi="Arial" w:cs="Arial"/>
          <w:b w:val="0"/>
          <w:i w:val="0"/>
          <w:sz w:val="24"/>
          <w:szCs w:val="24"/>
        </w:rPr>
        <w:t>роверки.</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Акт плановой проверки составляется в двух экземплярах и подписывается председателем и членами Комиссии в день составления. Документы, использованные в ходе проверки, и (или) их электронные копии прилагаются к Акту плановой проверки либо указывается их местонахождение.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Первый экземпляр Акта плановой проверки с приложенными документами и (или) электронными копиями подлежит хранению в Ассоциации в течение трех лет с даты его составления.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Второй экземпляр Акта плановой проверки не позднее пяти рабочих дней с даты его подписания вручается арбитражному управляющему под роспись или направляется по почте. Акт плановой проверки также направляется по адресу электронной почты, согласованному арбитражным управляющим с Ассоциации, или иным способом, обеспечивающим его доставку в течение пяти рабочих дней с даты его направления.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Арбитражный управляющий при несогласии с изложенными в Акте плановой проверки выводами о наличии фактов нарушения им требований ФЗ «О несостоятельности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Ассоциации вправе в течение пятнадцати рабочих дней после получения Акта плановой проверки представить в Ассоциации мотивированное возражение.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В течение двадцати пяти рабочих дней с даты подписания акта проверки, при проведении которой были выявлены нарушения, Акт плановой проверки и возражения арбитражного управляющего (при их наличии) передаются в Дисциплинарную комиссию Ассоциации.</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В течение семи рабочих дней с даты подписания Акта плановой проверки информация о дате и результатах проведения проверки размещается на сайте Ассоциации в информационно-телекоммуникационной сети "Интернет".</w:t>
      </w:r>
    </w:p>
    <w:p w:rsidR="00A87A21" w:rsidRPr="00707328" w:rsidRDefault="00A87A21" w:rsidP="00707328">
      <w:pPr>
        <w:jc w:val="both"/>
        <w:rPr>
          <w:rFonts w:ascii="Arial" w:hAnsi="Arial" w:cs="Arial"/>
        </w:rPr>
      </w:pPr>
    </w:p>
    <w:p w:rsidR="00A87A21" w:rsidRDefault="00707328" w:rsidP="00707328">
      <w:pPr>
        <w:pStyle w:val="a3"/>
        <w:keepNext/>
        <w:numPr>
          <w:ilvl w:val="0"/>
          <w:numId w:val="1"/>
        </w:numPr>
        <w:contextualSpacing w:val="0"/>
        <w:jc w:val="center"/>
        <w:outlineLvl w:val="0"/>
        <w:rPr>
          <w:rFonts w:ascii="Arial" w:hAnsi="Arial" w:cs="Arial"/>
          <w:b/>
        </w:rPr>
      </w:pPr>
      <w:r w:rsidRPr="00707328">
        <w:rPr>
          <w:rFonts w:ascii="Arial" w:hAnsi="Arial" w:cs="Arial"/>
          <w:b/>
        </w:rPr>
        <w:t>Внеплановые проверки</w:t>
      </w:r>
    </w:p>
    <w:p w:rsidR="00707328" w:rsidRPr="007506D5" w:rsidRDefault="00707328" w:rsidP="00707328">
      <w:pPr>
        <w:pStyle w:val="2"/>
        <w:ind w:left="1427"/>
        <w:rPr>
          <w:rFonts w:ascii="Arial" w:hAnsi="Arial" w:cs="Arial"/>
          <w:b w:val="0"/>
          <w:i w:val="0"/>
          <w:sz w:val="24"/>
          <w:szCs w:val="24"/>
        </w:rPr>
      </w:pPr>
      <w:r w:rsidRPr="007506D5">
        <w:rPr>
          <w:rFonts w:ascii="Arial" w:hAnsi="Arial" w:cs="Arial"/>
          <w:b w:val="0"/>
          <w:i w:val="0"/>
          <w:sz w:val="24"/>
          <w:szCs w:val="24"/>
        </w:rPr>
        <w:t>Основаниями для проведения внеплановой проверки являются:</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 поступившие в адрес </w:t>
      </w:r>
      <w:r w:rsidRPr="00707328">
        <w:rPr>
          <w:rFonts w:ascii="Arial" w:hAnsi="Arial" w:cs="Arial"/>
          <w:b w:val="0"/>
          <w:i w:val="0"/>
          <w:sz w:val="24"/>
          <w:szCs w:val="24"/>
        </w:rPr>
        <w:t>Ассоциаци</w:t>
      </w:r>
      <w:r>
        <w:rPr>
          <w:rFonts w:ascii="Arial" w:hAnsi="Arial" w:cs="Arial"/>
          <w:b w:val="0"/>
          <w:i w:val="0"/>
          <w:sz w:val="24"/>
          <w:szCs w:val="24"/>
        </w:rPr>
        <w:t>ю</w:t>
      </w:r>
      <w:r w:rsidRPr="00707328">
        <w:rPr>
          <w:rFonts w:ascii="Arial" w:hAnsi="Arial" w:cs="Arial"/>
          <w:b w:val="0"/>
          <w:i w:val="0"/>
          <w:sz w:val="24"/>
          <w:szCs w:val="24"/>
        </w:rPr>
        <w:t xml:space="preserve"> </w:t>
      </w:r>
      <w:r w:rsidRPr="007506D5">
        <w:rPr>
          <w:rFonts w:ascii="Arial" w:hAnsi="Arial" w:cs="Arial"/>
          <w:b w:val="0"/>
          <w:i w:val="0"/>
          <w:sz w:val="24"/>
          <w:szCs w:val="24"/>
        </w:rPr>
        <w:t>жалобы (обращения) федеральных органов государственной власти, органов государственной власти субъектов Российской Федерации или органов местного самоуправления, в которых указаны факты нарушения арбитражным управляющим требований 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 поступившие в адрес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 xml:space="preserve">оригиналы жалоб (обращений) или их копии из федерального органа исполнительной власти, уполномоченного Правительством Российской Федерации на осуществление функций по контролю (надзору) за деятельностью </w:t>
      </w:r>
      <w:proofErr w:type="spellStart"/>
      <w:r w:rsidRPr="007506D5">
        <w:rPr>
          <w:rFonts w:ascii="Arial" w:hAnsi="Arial" w:cs="Arial"/>
          <w:b w:val="0"/>
          <w:i w:val="0"/>
          <w:sz w:val="24"/>
          <w:szCs w:val="24"/>
        </w:rPr>
        <w:t>саморегулируемых</w:t>
      </w:r>
      <w:proofErr w:type="spellEnd"/>
      <w:r w:rsidRPr="007506D5">
        <w:rPr>
          <w:rFonts w:ascii="Arial" w:hAnsi="Arial" w:cs="Arial"/>
          <w:b w:val="0"/>
          <w:i w:val="0"/>
          <w:sz w:val="24"/>
          <w:szCs w:val="24"/>
        </w:rPr>
        <w:t xml:space="preserve"> организаций арбитражных управляющих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 поступившие в адрес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 xml:space="preserve">оригиналы жалоб (обращений) на действия (бездействие) арбитражного управляющего, содержащие факты нарушения арбитражным управляющим требований 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roofErr w:type="spellStart"/>
      <w:r w:rsidRPr="007506D5">
        <w:rPr>
          <w:rFonts w:ascii="Arial" w:hAnsi="Arial" w:cs="Arial"/>
          <w:b w:val="0"/>
          <w:i w:val="0"/>
          <w:sz w:val="24"/>
          <w:szCs w:val="24"/>
        </w:rPr>
        <w:t>саморегулируемой</w:t>
      </w:r>
      <w:proofErr w:type="spellEnd"/>
      <w:r w:rsidRPr="007506D5">
        <w:rPr>
          <w:rFonts w:ascii="Arial" w:hAnsi="Arial" w:cs="Arial"/>
          <w:b w:val="0"/>
          <w:i w:val="0"/>
          <w:sz w:val="24"/>
          <w:szCs w:val="24"/>
        </w:rPr>
        <w:t xml:space="preserve"> организации;</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 обращение члена Контрольного отдела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 xml:space="preserve">при выявлении фактов нарушений.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Внеплановая проверка проводится  в срок, не превышающий тридцать дней со дня поступления жалобы (обращения).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Основаниями для отказа в рассмотрении поступившей в адрес </w:t>
      </w:r>
      <w:r w:rsidRPr="00707328">
        <w:rPr>
          <w:rFonts w:ascii="Arial" w:hAnsi="Arial" w:cs="Arial"/>
          <w:b w:val="0"/>
          <w:i w:val="0"/>
          <w:sz w:val="24"/>
          <w:szCs w:val="24"/>
        </w:rPr>
        <w:t>Ассоциации</w:t>
      </w:r>
      <w:r w:rsidRPr="007506D5">
        <w:rPr>
          <w:rFonts w:ascii="Arial" w:hAnsi="Arial" w:cs="Arial"/>
          <w:b w:val="0"/>
          <w:i w:val="0"/>
          <w:sz w:val="24"/>
          <w:szCs w:val="24"/>
        </w:rPr>
        <w:t xml:space="preserve"> жалобы (обращения) являются следующие обстоятельства: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в жалобе (обращении) не содержатся данные заявителя (фамилия, инициалы, наименование организации (для юридического лица), подпись отправителя и (или) его адрес (адрес электронной почты));</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 отсутствует указание на факты нарушения арбитражным управляющим требований 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жалоба (обращение) направлена в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в процессуальном порядке (в соответствии с требованиями Арбитражного процессуального или Гражданско</w:t>
      </w:r>
      <w:r>
        <w:rPr>
          <w:rFonts w:ascii="Arial" w:hAnsi="Arial" w:cs="Arial"/>
          <w:b w:val="0"/>
          <w:i w:val="0"/>
          <w:sz w:val="24"/>
          <w:szCs w:val="24"/>
        </w:rPr>
        <w:t>го</w:t>
      </w:r>
      <w:r w:rsidRPr="007506D5">
        <w:rPr>
          <w:rFonts w:ascii="Arial" w:hAnsi="Arial" w:cs="Arial"/>
          <w:b w:val="0"/>
          <w:i w:val="0"/>
          <w:sz w:val="24"/>
          <w:szCs w:val="24"/>
        </w:rPr>
        <w:t xml:space="preserve"> процессуального кодекса Российской Федерации;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текст жалобы (обращения) не поддается прочтению;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невозможно подтвердить полномочия лица, подписавшего текст жалобы (обращения) по доверенности;</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 в жалобе (обращении) указаны факты, по которым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 xml:space="preserve">ранее направляла заявителю ответ по существу, и при этом в жалобе (обращении) не приводятся новые факты, обстоятельства и доводы. В этом случае заявителю направляется ответ, содержащий сведения о результатах ранее проведенной проверки по указанным фактам;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исключение (выход) арбитражного управляющего из числа членов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 xml:space="preserve">на дату поступления обращения (жалобы);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процедура банкротства, на нарушения при проведении которой указывается в жалобе (обращении), завершена (прекращена) более года до даты поступления жалобы (обращения) либо арбитражный управляющий был отстранен или освобожден от исполнения обязанностей при проведении данной процедуры банкротства более года до даты поступления жалобы (обращения).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Проведение внеплановой проверки может быть приостановлено по решению Президента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 xml:space="preserve">в случае, если по указанным в жалобе (обращении) нарушениям осуществляется производство по делу об административном правонарушении или по уголовному делу. Проведение проверки приостанавливается до получения, вступившего в законную силу решения о привлечении к административной или уголовной ответственности либо об отказе в привлечении к ответственности. В случае если в отношении лица, по жалобе (обращению) на действия (бездействие) которого проводится внеплановая проверка, вынесено решение о привлечении к административной или уголовной ответственности, по решению Президента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 xml:space="preserve">проведение внеплановой проверки прекращается.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Арбитражному управляющему, в отношении которого принято решение о проведении внеплановой проверки, должно быть направлено в течение трех рабочих дней с даты принятия такого решения уведомление с указанием основания и срока проведения проверки, а также сроков представления в </w:t>
      </w:r>
      <w:r w:rsidRPr="00707328">
        <w:rPr>
          <w:rFonts w:ascii="Arial" w:hAnsi="Arial" w:cs="Arial"/>
          <w:b w:val="0"/>
          <w:i w:val="0"/>
          <w:sz w:val="24"/>
          <w:szCs w:val="24"/>
        </w:rPr>
        <w:t>Ассоциаци</w:t>
      </w:r>
      <w:r>
        <w:rPr>
          <w:rFonts w:ascii="Arial" w:hAnsi="Arial" w:cs="Arial"/>
          <w:b w:val="0"/>
          <w:i w:val="0"/>
          <w:sz w:val="24"/>
          <w:szCs w:val="24"/>
        </w:rPr>
        <w:t>ю</w:t>
      </w:r>
      <w:r w:rsidRPr="00707328">
        <w:rPr>
          <w:rFonts w:ascii="Arial" w:hAnsi="Arial" w:cs="Arial"/>
          <w:b w:val="0"/>
          <w:i w:val="0"/>
          <w:sz w:val="24"/>
          <w:szCs w:val="24"/>
        </w:rPr>
        <w:t xml:space="preserve"> </w:t>
      </w:r>
      <w:r w:rsidRPr="007506D5">
        <w:rPr>
          <w:rFonts w:ascii="Arial" w:hAnsi="Arial" w:cs="Arial"/>
          <w:b w:val="0"/>
          <w:i w:val="0"/>
          <w:sz w:val="24"/>
          <w:szCs w:val="24"/>
        </w:rPr>
        <w:t xml:space="preserve">объяснений по фактам нарушений, указанных в жалобе (обращении), и необходимых документов для разрешения вопросов по существу. Такое уведомление направляется арбитражному управляющему по адресу электронной почты, согласованному с </w:t>
      </w:r>
      <w:r w:rsidRPr="00707328">
        <w:rPr>
          <w:rFonts w:ascii="Arial" w:hAnsi="Arial" w:cs="Arial"/>
          <w:b w:val="0"/>
          <w:i w:val="0"/>
          <w:sz w:val="24"/>
          <w:szCs w:val="24"/>
        </w:rPr>
        <w:t>Ассоциаци</w:t>
      </w:r>
      <w:r>
        <w:rPr>
          <w:rFonts w:ascii="Arial" w:hAnsi="Arial" w:cs="Arial"/>
          <w:b w:val="0"/>
          <w:i w:val="0"/>
          <w:sz w:val="24"/>
          <w:szCs w:val="24"/>
        </w:rPr>
        <w:t>ей</w:t>
      </w:r>
      <w:r w:rsidRPr="007506D5">
        <w:rPr>
          <w:rFonts w:ascii="Arial" w:hAnsi="Arial" w:cs="Arial"/>
          <w:b w:val="0"/>
          <w:i w:val="0"/>
          <w:sz w:val="24"/>
          <w:szCs w:val="24"/>
        </w:rPr>
        <w:t>, или иным способом, обеспечивающим его доставку в течение пяти рабочих дней с даты его направления.</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 По результатам проведения внеплановой проверки составляется Акт внеплановой проверки, в котором указываются:</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дата и место составления Акта внеплановой проверки;</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перечень лиц, участвующих в проведении проверки;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номер, дата, наименование документа о принятии решения о проведении проверки;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основание принятия решения о проведении проверки;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наименование (фамилия, имя и отчество  - для физического лица) заявителя жалобы (обращения);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фамилия, имя и отчество арбитражного управляющего, деятельность которого подлежала проверке;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наименование должника и его адрес;</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номер дела о банкротстве,</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Pr>
          <w:rFonts w:ascii="Arial" w:hAnsi="Arial" w:cs="Arial"/>
          <w:b w:val="0"/>
          <w:i w:val="0"/>
          <w:sz w:val="24"/>
          <w:szCs w:val="24"/>
        </w:rPr>
        <w:t>-</w:t>
      </w:r>
      <w:r w:rsidRPr="007506D5">
        <w:rPr>
          <w:rFonts w:ascii="Arial" w:hAnsi="Arial" w:cs="Arial"/>
          <w:b w:val="0"/>
          <w:i w:val="0"/>
          <w:sz w:val="24"/>
          <w:szCs w:val="24"/>
        </w:rPr>
        <w:t xml:space="preserve"> наименование арбитражного суда, в производстве которого находится дело о банкротстве должника,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Pr>
          <w:rFonts w:ascii="Arial" w:hAnsi="Arial" w:cs="Arial"/>
          <w:b w:val="0"/>
          <w:i w:val="0"/>
          <w:sz w:val="24"/>
          <w:szCs w:val="24"/>
        </w:rPr>
        <w:t xml:space="preserve">- </w:t>
      </w:r>
      <w:r w:rsidRPr="007506D5">
        <w:rPr>
          <w:rFonts w:ascii="Arial" w:hAnsi="Arial" w:cs="Arial"/>
          <w:b w:val="0"/>
          <w:i w:val="0"/>
          <w:sz w:val="24"/>
          <w:szCs w:val="24"/>
        </w:rPr>
        <w:t xml:space="preserve">иные сведения, если внеплановая проверка инициирована </w:t>
      </w:r>
      <w:r w:rsidRPr="00707328">
        <w:rPr>
          <w:rFonts w:ascii="Arial" w:hAnsi="Arial" w:cs="Arial"/>
          <w:b w:val="0"/>
          <w:i w:val="0"/>
          <w:sz w:val="24"/>
          <w:szCs w:val="24"/>
        </w:rPr>
        <w:t>Ассоциац</w:t>
      </w:r>
      <w:r>
        <w:rPr>
          <w:rFonts w:ascii="Arial" w:hAnsi="Arial" w:cs="Arial"/>
          <w:b w:val="0"/>
          <w:i w:val="0"/>
          <w:sz w:val="24"/>
          <w:szCs w:val="24"/>
        </w:rPr>
        <w:t>ией</w:t>
      </w:r>
      <w:r w:rsidRPr="00707328">
        <w:rPr>
          <w:rFonts w:ascii="Arial" w:hAnsi="Arial" w:cs="Arial"/>
          <w:b w:val="0"/>
          <w:i w:val="0"/>
          <w:sz w:val="24"/>
          <w:szCs w:val="24"/>
        </w:rPr>
        <w:t xml:space="preserve"> </w:t>
      </w:r>
      <w:r w:rsidRPr="007506D5">
        <w:rPr>
          <w:rFonts w:ascii="Arial" w:hAnsi="Arial" w:cs="Arial"/>
          <w:b w:val="0"/>
          <w:i w:val="0"/>
          <w:sz w:val="24"/>
          <w:szCs w:val="24"/>
        </w:rPr>
        <w:t xml:space="preserve">по иным основаниям;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сроки и место (адрес) проведения проверки; </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результаты проверки, содержащие выводы о наличии или отсутствии фактов нарушения арбитражным управляющим требований ФЗ «О несостоятельности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w:t>
      </w:r>
      <w:r w:rsidRPr="00707328">
        <w:rPr>
          <w:rFonts w:ascii="Arial" w:hAnsi="Arial" w:cs="Arial"/>
          <w:b w:val="0"/>
          <w:i w:val="0"/>
          <w:sz w:val="24"/>
          <w:szCs w:val="24"/>
        </w:rPr>
        <w:t>Ассоциации</w:t>
      </w:r>
      <w:r w:rsidRPr="007506D5">
        <w:rPr>
          <w:rFonts w:ascii="Arial" w:hAnsi="Arial" w:cs="Arial"/>
          <w:b w:val="0"/>
          <w:i w:val="0"/>
          <w:sz w:val="24"/>
          <w:szCs w:val="24"/>
        </w:rPr>
        <w:t>;</w:t>
      </w:r>
    </w:p>
    <w:p w:rsidR="00707328" w:rsidRPr="007506D5" w:rsidRDefault="00707328" w:rsidP="00707328">
      <w:pPr>
        <w:pStyle w:val="2"/>
        <w:numPr>
          <w:ilvl w:val="0"/>
          <w:numId w:val="0"/>
        </w:numPr>
        <w:spacing w:before="0" w:after="0"/>
        <w:ind w:firstLine="851"/>
        <w:jc w:val="both"/>
        <w:rPr>
          <w:rFonts w:ascii="Arial" w:hAnsi="Arial" w:cs="Arial"/>
          <w:b w:val="0"/>
          <w:i w:val="0"/>
          <w:sz w:val="24"/>
          <w:szCs w:val="24"/>
        </w:rPr>
      </w:pPr>
      <w:r w:rsidRPr="007506D5">
        <w:rPr>
          <w:rFonts w:ascii="Arial" w:hAnsi="Arial" w:cs="Arial"/>
          <w:b w:val="0"/>
          <w:i w:val="0"/>
          <w:sz w:val="24"/>
          <w:szCs w:val="24"/>
        </w:rPr>
        <w:t xml:space="preserve"> - перечень документов, использованных при проведении проверки.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Акт внеплановой проверки составляется в двух экземплярах и подписывается председателем и членами Комиссии в день составления. Документы, использованные в ходе проверки, и (или) их электронные копии прилагаются к Акту внеплановой проверки либо указывается их местонахождение. Первый экземпляр Акта внеплановой проверки с приложенными документами и (или) электронными копиями подлежит хранению в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в течение трех лет.</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 Экземпляр Акта внеплановой проверки не позднее десяти рабочих дней с даты его подписания вручается арбитражному управляющему под роспись или направляется по почте заказным письмом с уведомлением. Акт внеплановой проверки также направляется по адресу электронной почты, согласованному арбитражным управляющим с </w:t>
      </w:r>
      <w:r w:rsidRPr="00707328">
        <w:rPr>
          <w:rFonts w:ascii="Arial" w:hAnsi="Arial" w:cs="Arial"/>
          <w:b w:val="0"/>
          <w:i w:val="0"/>
          <w:sz w:val="24"/>
          <w:szCs w:val="24"/>
        </w:rPr>
        <w:t>Ассоциаци</w:t>
      </w:r>
      <w:r>
        <w:rPr>
          <w:rFonts w:ascii="Arial" w:hAnsi="Arial" w:cs="Arial"/>
          <w:b w:val="0"/>
          <w:i w:val="0"/>
          <w:sz w:val="24"/>
          <w:szCs w:val="24"/>
        </w:rPr>
        <w:t>ей</w:t>
      </w:r>
      <w:r w:rsidRPr="00707328">
        <w:rPr>
          <w:rFonts w:ascii="Arial" w:hAnsi="Arial" w:cs="Arial"/>
          <w:b w:val="0"/>
          <w:i w:val="0"/>
          <w:sz w:val="24"/>
          <w:szCs w:val="24"/>
        </w:rPr>
        <w:t xml:space="preserve"> </w:t>
      </w:r>
      <w:r w:rsidRPr="007506D5">
        <w:rPr>
          <w:rFonts w:ascii="Arial" w:hAnsi="Arial" w:cs="Arial"/>
          <w:b w:val="0"/>
          <w:i w:val="0"/>
          <w:sz w:val="24"/>
          <w:szCs w:val="24"/>
        </w:rPr>
        <w:t>или иным способом, обеспечивающим его доставку в течение пяти рабочих дней с даты его направления.</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 Арбитражный управляющий при несогласии с изложенными в Акте внеплановой проверки фактами и выводами вправе предоставить мотивированное возражение в </w:t>
      </w:r>
      <w:r w:rsidRPr="00707328">
        <w:rPr>
          <w:rFonts w:ascii="Arial" w:hAnsi="Arial" w:cs="Arial"/>
          <w:b w:val="0"/>
          <w:i w:val="0"/>
          <w:sz w:val="24"/>
          <w:szCs w:val="24"/>
        </w:rPr>
        <w:t>Ассоциаци</w:t>
      </w:r>
      <w:r>
        <w:rPr>
          <w:rFonts w:ascii="Arial" w:hAnsi="Arial" w:cs="Arial"/>
          <w:b w:val="0"/>
          <w:i w:val="0"/>
          <w:sz w:val="24"/>
          <w:szCs w:val="24"/>
        </w:rPr>
        <w:t>ю</w:t>
      </w:r>
      <w:r w:rsidRPr="00707328">
        <w:rPr>
          <w:rFonts w:ascii="Arial" w:hAnsi="Arial" w:cs="Arial"/>
          <w:b w:val="0"/>
          <w:i w:val="0"/>
          <w:sz w:val="24"/>
          <w:szCs w:val="24"/>
        </w:rPr>
        <w:t xml:space="preserve"> </w:t>
      </w:r>
      <w:r w:rsidRPr="007506D5">
        <w:rPr>
          <w:rFonts w:ascii="Arial" w:hAnsi="Arial" w:cs="Arial"/>
          <w:b w:val="0"/>
          <w:i w:val="0"/>
          <w:sz w:val="24"/>
          <w:szCs w:val="24"/>
        </w:rPr>
        <w:t>в течение пятнадцати рабочих дней с даты получения Акта внеплановой проверки.</w:t>
      </w:r>
    </w:p>
    <w:p w:rsidR="00707328" w:rsidRPr="007506D5" w:rsidRDefault="00707328" w:rsidP="00707328">
      <w:pPr>
        <w:pStyle w:val="2"/>
        <w:spacing w:before="0" w:after="0"/>
        <w:ind w:left="0" w:firstLine="851"/>
        <w:jc w:val="both"/>
        <w:rPr>
          <w:rFonts w:ascii="Arial" w:hAnsi="Arial" w:cs="Arial"/>
          <w:b w:val="0"/>
          <w:i w:val="0"/>
          <w:sz w:val="24"/>
          <w:szCs w:val="24"/>
        </w:rPr>
      </w:pPr>
      <w:r w:rsidRPr="00707328">
        <w:rPr>
          <w:rFonts w:ascii="Arial" w:hAnsi="Arial" w:cs="Arial"/>
          <w:b w:val="0"/>
          <w:i w:val="0"/>
          <w:sz w:val="24"/>
          <w:szCs w:val="24"/>
        </w:rPr>
        <w:t>Ассоциаци</w:t>
      </w:r>
      <w:r>
        <w:rPr>
          <w:rFonts w:ascii="Arial" w:hAnsi="Arial" w:cs="Arial"/>
          <w:b w:val="0"/>
          <w:i w:val="0"/>
          <w:sz w:val="24"/>
          <w:szCs w:val="24"/>
        </w:rPr>
        <w:t>я</w:t>
      </w:r>
      <w:r w:rsidRPr="00707328">
        <w:rPr>
          <w:rFonts w:ascii="Arial" w:hAnsi="Arial" w:cs="Arial"/>
          <w:b w:val="0"/>
          <w:i w:val="0"/>
          <w:sz w:val="24"/>
          <w:szCs w:val="24"/>
        </w:rPr>
        <w:t xml:space="preserve"> </w:t>
      </w:r>
      <w:r w:rsidRPr="007506D5">
        <w:rPr>
          <w:rFonts w:ascii="Arial" w:hAnsi="Arial" w:cs="Arial"/>
          <w:b w:val="0"/>
          <w:i w:val="0"/>
          <w:sz w:val="24"/>
          <w:szCs w:val="24"/>
        </w:rPr>
        <w:t xml:space="preserve">в течение тридцати дней с даты поступления в </w:t>
      </w:r>
      <w:r w:rsidRPr="00707328">
        <w:rPr>
          <w:rFonts w:ascii="Arial" w:hAnsi="Arial" w:cs="Arial"/>
          <w:b w:val="0"/>
          <w:i w:val="0"/>
          <w:sz w:val="24"/>
          <w:szCs w:val="24"/>
        </w:rPr>
        <w:t>Ассоциаци</w:t>
      </w:r>
      <w:r>
        <w:rPr>
          <w:rFonts w:ascii="Arial" w:hAnsi="Arial" w:cs="Arial"/>
          <w:b w:val="0"/>
          <w:i w:val="0"/>
          <w:sz w:val="24"/>
          <w:szCs w:val="24"/>
        </w:rPr>
        <w:t>ю</w:t>
      </w:r>
      <w:r w:rsidRPr="007506D5">
        <w:rPr>
          <w:rFonts w:ascii="Arial" w:hAnsi="Arial" w:cs="Arial"/>
          <w:b w:val="0"/>
          <w:i w:val="0"/>
          <w:sz w:val="24"/>
          <w:szCs w:val="24"/>
        </w:rPr>
        <w:t xml:space="preserve"> оригинала жалобы (обращения) либо копии жалобы (обращения), поступившей из органа по контролю (надзору), направляет заявителю подписанный Президентом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ответ о результатах рассмотрения жалобы (обращения), содержащий обоснованные и аргументированные выводы со ссылками на нормы 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 Срок рассмотрения обращения (жалобы) может быть продлен не более чем на тридцать дней с уведомлением об этом заявителя. </w:t>
      </w:r>
    </w:p>
    <w:p w:rsidR="00707328" w:rsidRPr="007506D5" w:rsidRDefault="00707328" w:rsidP="00707328">
      <w:pPr>
        <w:pStyle w:val="2"/>
        <w:spacing w:before="0" w:after="0"/>
        <w:ind w:left="0" w:firstLine="851"/>
        <w:jc w:val="both"/>
        <w:rPr>
          <w:rFonts w:ascii="Arial" w:hAnsi="Arial" w:cs="Arial"/>
          <w:b w:val="0"/>
          <w:i w:val="0"/>
          <w:sz w:val="24"/>
          <w:szCs w:val="24"/>
        </w:rPr>
      </w:pPr>
      <w:r w:rsidRPr="007506D5">
        <w:rPr>
          <w:rFonts w:ascii="Arial" w:hAnsi="Arial" w:cs="Arial"/>
          <w:b w:val="0"/>
          <w:i w:val="0"/>
          <w:sz w:val="24"/>
          <w:szCs w:val="24"/>
        </w:rPr>
        <w:t xml:space="preserve">В течение семи рабочих дней с даты подписания Акта внеплановой проверки информация о дате и результатах проведения проверки размещается на сайте </w:t>
      </w:r>
      <w:r w:rsidRPr="00707328">
        <w:rPr>
          <w:rFonts w:ascii="Arial" w:hAnsi="Arial" w:cs="Arial"/>
          <w:b w:val="0"/>
          <w:i w:val="0"/>
          <w:sz w:val="24"/>
          <w:szCs w:val="24"/>
        </w:rPr>
        <w:t xml:space="preserve">Ассоциации </w:t>
      </w:r>
      <w:r w:rsidRPr="007506D5">
        <w:rPr>
          <w:rFonts w:ascii="Arial" w:hAnsi="Arial" w:cs="Arial"/>
          <w:b w:val="0"/>
          <w:i w:val="0"/>
          <w:sz w:val="24"/>
          <w:szCs w:val="24"/>
        </w:rPr>
        <w:t>в информационно-телекоммуникационной сети "Интернет".</w:t>
      </w:r>
    </w:p>
    <w:p w:rsidR="00707328" w:rsidRPr="00707328" w:rsidRDefault="00707328" w:rsidP="00707328">
      <w:pPr>
        <w:pStyle w:val="2"/>
        <w:numPr>
          <w:ilvl w:val="0"/>
          <w:numId w:val="0"/>
        </w:numPr>
        <w:spacing w:before="0" w:after="0"/>
        <w:ind w:left="851"/>
        <w:jc w:val="both"/>
        <w:rPr>
          <w:rFonts w:ascii="Arial" w:hAnsi="Arial" w:cs="Arial"/>
          <w:b w:val="0"/>
          <w:i w:val="0"/>
          <w:sz w:val="24"/>
          <w:szCs w:val="24"/>
        </w:rPr>
      </w:pPr>
    </w:p>
    <w:sectPr w:rsidR="00707328" w:rsidRPr="00707328" w:rsidSect="004A6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4236"/>
    <w:multiLevelType w:val="hybridMultilevel"/>
    <w:tmpl w:val="968050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A5106"/>
    <w:multiLevelType w:val="multilevel"/>
    <w:tmpl w:val="1528E34E"/>
    <w:lvl w:ilvl="0">
      <w:start w:val="1"/>
      <w:numFmt w:val="decimal"/>
      <w:pStyle w:val="1"/>
      <w:lvlText w:val="%1"/>
      <w:lvlJc w:val="left"/>
      <w:pPr>
        <w:ind w:left="432" w:hanging="432"/>
      </w:pPr>
      <w:rPr>
        <w:rFonts w:ascii="Arial" w:hAnsi="Arial" w:cs="Arial" w:hint="default"/>
      </w:rPr>
    </w:lvl>
    <w:lvl w:ilvl="1">
      <w:start w:val="1"/>
      <w:numFmt w:val="decimal"/>
      <w:pStyle w:val="2"/>
      <w:lvlText w:val="%1.%2"/>
      <w:lvlJc w:val="left"/>
      <w:pPr>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70454DE1"/>
    <w:multiLevelType w:val="hybridMultilevel"/>
    <w:tmpl w:val="097ADE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7337654F"/>
    <w:multiLevelType w:val="hybridMultilevel"/>
    <w:tmpl w:val="365CF7BE"/>
    <w:lvl w:ilvl="0" w:tplc="EC7E64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
  </w:num>
  <w:num w:numId="5">
    <w:abstractNumId w:val="1"/>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savePreviewPicture/>
  <w:compat/>
  <w:rsids>
    <w:rsidRoot w:val="00A87A21"/>
    <w:rsid w:val="0000731C"/>
    <w:rsid w:val="00073160"/>
    <w:rsid w:val="004A6E35"/>
    <w:rsid w:val="00626244"/>
    <w:rsid w:val="00707328"/>
    <w:rsid w:val="007117BC"/>
    <w:rsid w:val="007B434F"/>
    <w:rsid w:val="00903526"/>
    <w:rsid w:val="00A368DF"/>
    <w:rsid w:val="00A87A21"/>
    <w:rsid w:val="00AD2FA5"/>
    <w:rsid w:val="00C15F12"/>
    <w:rsid w:val="00DC4691"/>
    <w:rsid w:val="00E553E3"/>
    <w:rsid w:val="00EF0740"/>
    <w:rsid w:val="00F1042C"/>
    <w:rsid w:val="00FC1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21"/>
    <w:pPr>
      <w:jc w:val="left"/>
    </w:pPr>
    <w:rPr>
      <w:rFonts w:eastAsia="Times New Roman" w:cs="Times New Roman"/>
      <w:sz w:val="24"/>
      <w:szCs w:val="24"/>
      <w:lang w:eastAsia="ru-RU"/>
    </w:rPr>
  </w:style>
  <w:style w:type="paragraph" w:styleId="1">
    <w:name w:val="heading 1"/>
    <w:basedOn w:val="a"/>
    <w:next w:val="a"/>
    <w:link w:val="10"/>
    <w:qFormat/>
    <w:rsid w:val="00A87A21"/>
    <w:pPr>
      <w:keepNext/>
      <w:numPr>
        <w:numId w:val="1"/>
      </w:numPr>
      <w:outlineLvl w:val="0"/>
    </w:pPr>
    <w:rPr>
      <w:rFonts w:ascii="Arial" w:hAnsi="Arial" w:cs="Arial"/>
      <w:b/>
      <w:bCs/>
      <w:sz w:val="22"/>
    </w:rPr>
  </w:style>
  <w:style w:type="paragraph" w:styleId="2">
    <w:name w:val="heading 2"/>
    <w:basedOn w:val="a"/>
    <w:next w:val="a"/>
    <w:link w:val="20"/>
    <w:unhideWhenUsed/>
    <w:qFormat/>
    <w:rsid w:val="00A87A21"/>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nhideWhenUsed/>
    <w:qFormat/>
    <w:rsid w:val="00A87A21"/>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nhideWhenUsed/>
    <w:qFormat/>
    <w:rsid w:val="00A87A21"/>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nhideWhenUsed/>
    <w:qFormat/>
    <w:rsid w:val="00A87A21"/>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87A21"/>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A87A21"/>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A87A21"/>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A87A21"/>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21"/>
    <w:rPr>
      <w:rFonts w:ascii="Arial" w:eastAsia="Times New Roman" w:hAnsi="Arial" w:cs="Arial"/>
      <w:b/>
      <w:bCs/>
      <w:sz w:val="22"/>
      <w:szCs w:val="24"/>
      <w:lang w:eastAsia="ru-RU"/>
    </w:rPr>
  </w:style>
  <w:style w:type="character" w:customStyle="1" w:styleId="20">
    <w:name w:val="Заголовок 2 Знак"/>
    <w:basedOn w:val="a0"/>
    <w:link w:val="2"/>
    <w:rsid w:val="00A87A21"/>
    <w:rPr>
      <w:rFonts w:ascii="Cambria" w:eastAsia="Times New Roman" w:hAnsi="Cambria" w:cs="Times New Roman"/>
      <w:b/>
      <w:bCs/>
      <w:i/>
      <w:iCs/>
      <w:szCs w:val="28"/>
      <w:lang w:eastAsia="ru-RU"/>
    </w:rPr>
  </w:style>
  <w:style w:type="character" w:customStyle="1" w:styleId="30">
    <w:name w:val="Заголовок 3 Знак"/>
    <w:basedOn w:val="a0"/>
    <w:link w:val="3"/>
    <w:rsid w:val="00A87A21"/>
    <w:rPr>
      <w:rFonts w:ascii="Cambria" w:eastAsia="Times New Roman" w:hAnsi="Cambria" w:cs="Times New Roman"/>
      <w:b/>
      <w:bCs/>
      <w:sz w:val="26"/>
      <w:szCs w:val="26"/>
      <w:lang w:eastAsia="ru-RU"/>
    </w:rPr>
  </w:style>
  <w:style w:type="character" w:customStyle="1" w:styleId="40">
    <w:name w:val="Заголовок 4 Знак"/>
    <w:basedOn w:val="a0"/>
    <w:link w:val="4"/>
    <w:rsid w:val="00A87A21"/>
    <w:rPr>
      <w:rFonts w:ascii="Calibri" w:eastAsia="Times New Roman" w:hAnsi="Calibri" w:cs="Times New Roman"/>
      <w:b/>
      <w:bCs/>
      <w:szCs w:val="28"/>
      <w:lang w:eastAsia="ru-RU"/>
    </w:rPr>
  </w:style>
  <w:style w:type="character" w:customStyle="1" w:styleId="50">
    <w:name w:val="Заголовок 5 Знак"/>
    <w:basedOn w:val="a0"/>
    <w:link w:val="5"/>
    <w:rsid w:val="00A87A21"/>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87A21"/>
    <w:rPr>
      <w:rFonts w:ascii="Calibri" w:eastAsia="Times New Roman" w:hAnsi="Calibri" w:cs="Times New Roman"/>
      <w:b/>
      <w:bCs/>
      <w:sz w:val="22"/>
      <w:lang w:eastAsia="ru-RU"/>
    </w:rPr>
  </w:style>
  <w:style w:type="character" w:customStyle="1" w:styleId="70">
    <w:name w:val="Заголовок 7 Знак"/>
    <w:basedOn w:val="a0"/>
    <w:link w:val="7"/>
    <w:semiHidden/>
    <w:rsid w:val="00A87A21"/>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A87A21"/>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A87A21"/>
    <w:rPr>
      <w:rFonts w:ascii="Cambria" w:eastAsia="Times New Roman" w:hAnsi="Cambria" w:cs="Times New Roman"/>
      <w:sz w:val="22"/>
      <w:lang w:eastAsia="ru-RU"/>
    </w:rPr>
  </w:style>
  <w:style w:type="paragraph" w:styleId="a3">
    <w:name w:val="List Paragraph"/>
    <w:basedOn w:val="a"/>
    <w:uiPriority w:val="34"/>
    <w:qFormat/>
    <w:rsid w:val="00A87A21"/>
    <w:pPr>
      <w:ind w:left="720"/>
      <w:contextualSpacing/>
    </w:pPr>
  </w:style>
  <w:style w:type="paragraph" w:styleId="a4">
    <w:name w:val="Body Text Indent"/>
    <w:basedOn w:val="a"/>
    <w:link w:val="a5"/>
    <w:semiHidden/>
    <w:rsid w:val="00A87A21"/>
    <w:pPr>
      <w:ind w:firstLine="709"/>
      <w:jc w:val="both"/>
    </w:pPr>
    <w:rPr>
      <w:rFonts w:ascii="Arial" w:hAnsi="Arial" w:cs="Arial"/>
    </w:rPr>
  </w:style>
  <w:style w:type="character" w:customStyle="1" w:styleId="a5">
    <w:name w:val="Основной текст с отступом Знак"/>
    <w:basedOn w:val="a0"/>
    <w:link w:val="a4"/>
    <w:semiHidden/>
    <w:rsid w:val="00A87A21"/>
    <w:rPr>
      <w:rFonts w:ascii="Arial" w:eastAsia="Times New Roman" w:hAnsi="Arial" w:cs="Arial"/>
      <w:sz w:val="24"/>
      <w:szCs w:val="24"/>
      <w:lang w:eastAsia="ru-RU"/>
    </w:rPr>
  </w:style>
  <w:style w:type="paragraph" w:styleId="a6">
    <w:name w:val="No Spacing"/>
    <w:uiPriority w:val="1"/>
    <w:qFormat/>
    <w:rsid w:val="00A87A21"/>
    <w:pPr>
      <w:jc w:val="left"/>
    </w:pPr>
    <w:rPr>
      <w:rFonts w:eastAsia="Times New Roman" w:cs="Times New Roman"/>
      <w:sz w:val="24"/>
      <w:szCs w:val="24"/>
      <w:lang w:eastAsia="ru-RU"/>
    </w:rPr>
  </w:style>
  <w:style w:type="paragraph" w:styleId="a7">
    <w:name w:val="Title"/>
    <w:basedOn w:val="a"/>
    <w:next w:val="a"/>
    <w:link w:val="a8"/>
    <w:uiPriority w:val="10"/>
    <w:qFormat/>
    <w:rsid w:val="00A87A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87A21"/>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A87A21"/>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A87A21"/>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2479</Words>
  <Characters>14135</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УТВЕРЖДЕНО </vt:lpstr>
      <vt:lpstr/>
      <vt:lpstr>Правила осуществления контроля за соблюдением членами Ассоциации «Московская сам</vt:lpstr>
      <vt:lpstr/>
      <vt:lpstr>    Предметом проведения плановых проверок профессиональной деятельности членов Ассо</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2016-12-26T07:10:00Z</dcterms:created>
  <dcterms:modified xsi:type="dcterms:W3CDTF">2016-12-26T07:48:00Z</dcterms:modified>
</cp:coreProperties>
</file>